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简体" w:hAnsi="仿宋" w:eastAsia="方正小标宋简体" w:cs="方正小标宋简体"/>
          <w:b w:val="0"/>
          <w:bCs w:val="0"/>
          <w:sz w:val="36"/>
          <w:szCs w:val="36"/>
        </w:rPr>
      </w:pPr>
      <w:r>
        <w:rPr>
          <w:rFonts w:hint="eastAsia" w:ascii="方正小标宋简体" w:hAnsi="仿宋" w:eastAsia="方正小标宋简体" w:cs="方正小标宋简体"/>
          <w:b w:val="0"/>
          <w:bCs w:val="0"/>
          <w:sz w:val="36"/>
          <w:szCs w:val="36"/>
        </w:rPr>
        <w:t>2020年</w:t>
      </w:r>
      <w:r>
        <w:rPr>
          <w:rFonts w:hint="eastAsia" w:ascii="方正小标宋简体" w:hAnsi="仿宋" w:eastAsia="方正小标宋简体" w:cs="方正小标宋简体"/>
          <w:b w:val="0"/>
          <w:bCs w:val="0"/>
          <w:sz w:val="36"/>
          <w:szCs w:val="36"/>
          <w:lang w:eastAsia="zh-CN"/>
        </w:rPr>
        <w:t>广西中医药大学</w:t>
      </w:r>
      <w:r>
        <w:rPr>
          <w:rFonts w:hint="eastAsia" w:ascii="方正小标宋简体" w:hAnsi="仿宋" w:eastAsia="方正小标宋简体" w:cs="方正小标宋简体"/>
          <w:b w:val="0"/>
          <w:bCs w:val="0"/>
          <w:sz w:val="36"/>
          <w:szCs w:val="36"/>
        </w:rPr>
        <w:t>教育教学改革项目评审</w:t>
      </w:r>
    </w:p>
    <w:p>
      <w:pPr>
        <w:pStyle w:val="2"/>
        <w:jc w:val="center"/>
        <w:rPr>
          <w:rFonts w:ascii="方正小标宋简体" w:hAnsi="仿宋" w:eastAsia="方正小标宋简体" w:cs="方正小标宋简体"/>
          <w:b w:val="0"/>
          <w:bCs w:val="0"/>
          <w:sz w:val="36"/>
          <w:szCs w:val="36"/>
        </w:rPr>
      </w:pPr>
      <w:r>
        <w:rPr>
          <w:rFonts w:hint="eastAsia" w:ascii="方正小标宋简体" w:hAnsi="仿宋" w:eastAsia="方正小标宋简体" w:cs="方正小标宋简体"/>
          <w:b w:val="0"/>
          <w:bCs w:val="0"/>
          <w:sz w:val="36"/>
          <w:szCs w:val="36"/>
        </w:rPr>
        <w:t>结果公示</w:t>
      </w:r>
    </w:p>
    <w:p>
      <w:pPr>
        <w:rPr>
          <w:rFonts w:ascii="仿宋" w:hAnsi="仿宋" w:eastAsia="仿宋" w:cs="仿宋"/>
          <w:szCs w:val="21"/>
        </w:rPr>
      </w:pPr>
    </w:p>
    <w:p>
      <w:pPr>
        <w:rPr>
          <w:rFonts w:ascii="仿宋" w:hAnsi="仿宋" w:eastAsia="仿宋" w:cs="仿宋"/>
          <w:sz w:val="30"/>
          <w:szCs w:val="30"/>
        </w:rPr>
      </w:pPr>
      <w:r>
        <w:rPr>
          <w:rFonts w:hint="eastAsia" w:ascii="仿宋" w:hAnsi="仿宋" w:eastAsia="仿宋" w:cs="仿宋"/>
          <w:szCs w:val="21"/>
        </w:rPr>
        <w:t xml:space="preserve">    </w:t>
      </w:r>
      <w:r>
        <w:rPr>
          <w:rFonts w:hint="eastAsia" w:ascii="仿宋" w:hAnsi="仿宋" w:eastAsia="仿宋" w:cs="仿宋"/>
          <w:sz w:val="30"/>
          <w:szCs w:val="30"/>
        </w:rPr>
        <w:t xml:space="preserve"> 根据</w:t>
      </w:r>
      <w:r>
        <w:rPr>
          <w:rFonts w:hint="eastAsia" w:ascii="仿宋" w:hAnsi="仿宋" w:eastAsia="仿宋"/>
          <w:b w:val="0"/>
          <w:bCs w:val="0"/>
          <w:sz w:val="32"/>
          <w:szCs w:val="32"/>
          <w:lang w:eastAsia="zh-CN"/>
        </w:rPr>
        <w:t>《</w:t>
      </w:r>
      <w:r>
        <w:rPr>
          <w:rFonts w:hint="eastAsia" w:ascii="仿宋" w:hAnsi="仿宋" w:eastAsia="仿宋"/>
          <w:b w:val="0"/>
          <w:bCs w:val="0"/>
          <w:sz w:val="32"/>
          <w:szCs w:val="32"/>
        </w:rPr>
        <w:t>广西中医药大学关于申报20</w:t>
      </w:r>
      <w:r>
        <w:rPr>
          <w:rFonts w:hint="eastAsia" w:ascii="仿宋" w:hAnsi="仿宋" w:eastAsia="仿宋"/>
          <w:b w:val="0"/>
          <w:bCs w:val="0"/>
          <w:sz w:val="32"/>
          <w:szCs w:val="32"/>
          <w:lang w:val="en-US" w:eastAsia="zh-CN"/>
        </w:rPr>
        <w:t>20</w:t>
      </w:r>
      <w:r>
        <w:rPr>
          <w:rFonts w:hint="eastAsia" w:ascii="仿宋" w:hAnsi="仿宋" w:eastAsia="仿宋"/>
          <w:b w:val="0"/>
          <w:bCs w:val="0"/>
          <w:sz w:val="32"/>
          <w:szCs w:val="32"/>
        </w:rPr>
        <w:t>年校级教育教学改革与研究项目的通知</w:t>
      </w:r>
      <w:r>
        <w:rPr>
          <w:rFonts w:hint="eastAsia" w:ascii="仿宋" w:hAnsi="仿宋" w:eastAsia="仿宋"/>
          <w:b w:val="0"/>
          <w:bCs w:val="0"/>
          <w:sz w:val="32"/>
          <w:szCs w:val="32"/>
          <w:lang w:eastAsia="zh-CN"/>
        </w:rPr>
        <w:t>》</w:t>
      </w:r>
      <w:r>
        <w:rPr>
          <w:rFonts w:hint="eastAsia" w:ascii="仿宋" w:hAnsi="仿宋" w:eastAsia="仿宋" w:cs="仿宋"/>
          <w:sz w:val="30"/>
          <w:szCs w:val="30"/>
        </w:rPr>
        <w:t>要求，</w:t>
      </w:r>
      <w:r>
        <w:rPr>
          <w:rFonts w:hint="eastAsia" w:ascii="仿宋" w:hAnsi="仿宋" w:eastAsia="仿宋" w:cs="仿宋"/>
          <w:color w:val="000000"/>
          <w:kern w:val="0"/>
          <w:sz w:val="30"/>
          <w:szCs w:val="30"/>
        </w:rPr>
        <w:t>经学院（部门）推荐、高</w:t>
      </w:r>
      <w:r>
        <w:rPr>
          <w:rFonts w:hint="eastAsia" w:ascii="仿宋" w:hAnsi="仿宋" w:eastAsia="仿宋" w:cs="仿宋"/>
          <w:kern w:val="0"/>
          <w:sz w:val="30"/>
          <w:szCs w:val="30"/>
        </w:rPr>
        <w:t>等教育研究所审查、专家组</w:t>
      </w:r>
      <w:r>
        <w:rPr>
          <w:rFonts w:hint="eastAsia" w:ascii="仿宋" w:hAnsi="仿宋" w:eastAsia="仿宋" w:cs="仿宋"/>
          <w:kern w:val="0"/>
          <w:sz w:val="30"/>
          <w:szCs w:val="30"/>
          <w:lang w:eastAsia="zh-CN"/>
        </w:rPr>
        <w:t>会评、函</w:t>
      </w:r>
      <w:r>
        <w:rPr>
          <w:rFonts w:hint="eastAsia" w:ascii="仿宋" w:hAnsi="仿宋" w:eastAsia="仿宋" w:cs="仿宋"/>
          <w:kern w:val="0"/>
          <w:sz w:val="30"/>
          <w:szCs w:val="30"/>
        </w:rPr>
        <w:t>评、学校教育教学研究与改革指导小组投票，共评审出</w:t>
      </w:r>
      <w:r>
        <w:rPr>
          <w:rFonts w:hint="eastAsia" w:ascii="仿宋" w:hAnsi="仿宋" w:eastAsia="仿宋" w:cs="仿宋"/>
          <w:kern w:val="0"/>
          <w:sz w:val="30"/>
          <w:szCs w:val="30"/>
          <w:lang w:val="en-US" w:eastAsia="zh-CN"/>
        </w:rPr>
        <w:t>141</w:t>
      </w:r>
      <w:r>
        <w:rPr>
          <w:rFonts w:hint="eastAsia" w:ascii="仿宋" w:hAnsi="仿宋" w:eastAsia="仿宋" w:cs="仿宋"/>
          <w:kern w:val="0"/>
          <w:sz w:val="30"/>
          <w:szCs w:val="30"/>
        </w:rPr>
        <w:t>项，其中</w:t>
      </w:r>
      <w:r>
        <w:rPr>
          <w:rFonts w:hint="eastAsia" w:ascii="仿宋" w:hAnsi="仿宋" w:eastAsia="仿宋" w:cs="仿宋"/>
          <w:kern w:val="0"/>
          <w:sz w:val="30"/>
          <w:szCs w:val="30"/>
          <w:lang w:eastAsia="zh-CN"/>
        </w:rPr>
        <w:t>招标</w:t>
      </w:r>
      <w:r>
        <w:rPr>
          <w:rFonts w:hint="eastAsia" w:ascii="仿宋" w:hAnsi="仿宋" w:eastAsia="仿宋" w:cs="仿宋"/>
          <w:kern w:val="0"/>
          <w:sz w:val="30"/>
          <w:szCs w:val="30"/>
        </w:rPr>
        <w:t>项目</w:t>
      </w:r>
      <w:r>
        <w:rPr>
          <w:rFonts w:hint="eastAsia" w:ascii="仿宋" w:hAnsi="仿宋" w:eastAsia="仿宋" w:cs="仿宋"/>
          <w:kern w:val="0"/>
          <w:sz w:val="30"/>
          <w:szCs w:val="30"/>
          <w:lang w:val="en-US" w:eastAsia="zh-CN"/>
        </w:rPr>
        <w:t>1</w:t>
      </w:r>
      <w:r>
        <w:rPr>
          <w:rFonts w:hint="eastAsia" w:ascii="仿宋" w:hAnsi="仿宋" w:eastAsia="仿宋" w:cs="仿宋"/>
          <w:kern w:val="0"/>
          <w:sz w:val="30"/>
          <w:szCs w:val="30"/>
        </w:rPr>
        <w:t>项,</w:t>
      </w:r>
      <w:r>
        <w:rPr>
          <w:rFonts w:hint="eastAsia" w:ascii="仿宋" w:hAnsi="仿宋" w:eastAsia="仿宋" w:cs="仿宋"/>
          <w:kern w:val="0"/>
          <w:sz w:val="30"/>
          <w:szCs w:val="30"/>
          <w:lang w:eastAsia="zh-CN"/>
        </w:rPr>
        <w:t>重大</w:t>
      </w:r>
      <w:r>
        <w:rPr>
          <w:rFonts w:hint="eastAsia" w:ascii="仿宋" w:hAnsi="仿宋" w:eastAsia="仿宋" w:cs="仿宋"/>
          <w:kern w:val="0"/>
          <w:sz w:val="30"/>
          <w:szCs w:val="30"/>
        </w:rPr>
        <w:t>项目</w:t>
      </w:r>
      <w:r>
        <w:rPr>
          <w:rFonts w:hint="eastAsia" w:ascii="仿宋" w:hAnsi="仿宋" w:eastAsia="仿宋" w:cs="仿宋"/>
          <w:kern w:val="0"/>
          <w:sz w:val="30"/>
          <w:szCs w:val="30"/>
          <w:lang w:val="en-US" w:eastAsia="zh-CN"/>
        </w:rPr>
        <w:t>10</w:t>
      </w:r>
      <w:r>
        <w:rPr>
          <w:rFonts w:hint="eastAsia" w:ascii="仿宋" w:hAnsi="仿宋" w:eastAsia="仿宋" w:cs="仿宋"/>
          <w:kern w:val="0"/>
          <w:sz w:val="30"/>
          <w:szCs w:val="30"/>
        </w:rPr>
        <w:t>项，</w:t>
      </w:r>
      <w:r>
        <w:rPr>
          <w:rFonts w:hint="eastAsia" w:ascii="仿宋" w:hAnsi="仿宋" w:eastAsia="仿宋" w:cs="仿宋"/>
          <w:kern w:val="0"/>
          <w:sz w:val="30"/>
          <w:szCs w:val="30"/>
          <w:lang w:eastAsia="zh-CN"/>
        </w:rPr>
        <w:t>重点</w:t>
      </w:r>
      <w:r>
        <w:rPr>
          <w:rFonts w:hint="eastAsia" w:ascii="仿宋" w:hAnsi="仿宋" w:eastAsia="仿宋" w:cs="仿宋"/>
          <w:kern w:val="0"/>
          <w:sz w:val="30"/>
          <w:szCs w:val="30"/>
        </w:rPr>
        <w:t>项目</w:t>
      </w:r>
      <w:r>
        <w:rPr>
          <w:rFonts w:hint="eastAsia" w:ascii="仿宋" w:hAnsi="仿宋" w:eastAsia="仿宋" w:cs="仿宋"/>
          <w:kern w:val="0"/>
          <w:sz w:val="30"/>
          <w:szCs w:val="30"/>
          <w:lang w:val="en-US" w:eastAsia="zh-CN"/>
        </w:rPr>
        <w:t>45</w:t>
      </w:r>
      <w:r>
        <w:rPr>
          <w:rFonts w:hint="eastAsia" w:ascii="仿宋" w:hAnsi="仿宋" w:eastAsia="仿宋" w:cs="仿宋"/>
          <w:kern w:val="0"/>
          <w:sz w:val="30"/>
          <w:szCs w:val="30"/>
        </w:rPr>
        <w:t>项</w:t>
      </w:r>
      <w:r>
        <w:rPr>
          <w:rFonts w:hint="eastAsia" w:ascii="仿宋" w:hAnsi="仿宋" w:eastAsia="仿宋" w:cs="仿宋"/>
          <w:kern w:val="0"/>
          <w:sz w:val="30"/>
          <w:szCs w:val="30"/>
          <w:lang w:eastAsia="zh-CN"/>
        </w:rPr>
        <w:t>，一般项目</w:t>
      </w:r>
      <w:r>
        <w:rPr>
          <w:rFonts w:hint="eastAsia" w:ascii="仿宋" w:hAnsi="仿宋" w:eastAsia="仿宋" w:cs="仿宋"/>
          <w:kern w:val="0"/>
          <w:sz w:val="30"/>
          <w:szCs w:val="30"/>
          <w:lang w:val="en-US" w:eastAsia="zh-CN"/>
        </w:rPr>
        <w:t>85项</w:t>
      </w:r>
      <w:r>
        <w:rPr>
          <w:rFonts w:hint="eastAsia" w:ascii="仿宋" w:hAnsi="仿宋" w:eastAsia="仿宋" w:cs="仿宋"/>
          <w:kern w:val="0"/>
          <w:sz w:val="30"/>
          <w:szCs w:val="30"/>
        </w:rPr>
        <w:t>。现将</w:t>
      </w:r>
      <w:r>
        <w:rPr>
          <w:rFonts w:hint="eastAsia" w:ascii="仿宋" w:hAnsi="仿宋" w:eastAsia="仿宋" w:cs="仿宋"/>
          <w:kern w:val="0"/>
          <w:sz w:val="30"/>
          <w:szCs w:val="30"/>
          <w:lang w:eastAsia="zh-CN"/>
        </w:rPr>
        <w:t>获立项</w:t>
      </w:r>
      <w:r>
        <w:rPr>
          <w:rFonts w:hint="eastAsia" w:ascii="仿宋" w:hAnsi="仿宋" w:eastAsia="仿宋" w:cs="仿宋"/>
          <w:kern w:val="0"/>
          <w:sz w:val="30"/>
          <w:szCs w:val="30"/>
        </w:rPr>
        <w:t>名单予以公示</w:t>
      </w:r>
      <w:r>
        <w:rPr>
          <w:rFonts w:hint="eastAsia" w:ascii="仿宋" w:hAnsi="仿宋" w:eastAsia="仿宋" w:cs="仿宋"/>
          <w:kern w:val="0"/>
          <w:sz w:val="30"/>
          <w:szCs w:val="30"/>
          <w:lang w:eastAsia="zh-CN"/>
        </w:rPr>
        <w:t>（见附件）</w:t>
      </w:r>
      <w:r>
        <w:rPr>
          <w:rFonts w:hint="eastAsia" w:ascii="仿宋" w:hAnsi="仿宋" w:eastAsia="仿宋" w:cs="仿宋"/>
          <w:kern w:val="0"/>
          <w:sz w:val="30"/>
          <w:szCs w:val="30"/>
        </w:rPr>
        <w:t>，</w:t>
      </w:r>
      <w:r>
        <w:rPr>
          <w:rFonts w:hint="eastAsia" w:ascii="仿宋" w:hAnsi="仿宋" w:eastAsia="仿宋" w:cs="仿宋"/>
          <w:sz w:val="30"/>
          <w:szCs w:val="30"/>
        </w:rPr>
        <w:t>公示期为2020年</w:t>
      </w:r>
      <w:r>
        <w:rPr>
          <w:rFonts w:hint="eastAsia" w:ascii="仿宋" w:hAnsi="仿宋" w:eastAsia="仿宋" w:cs="仿宋"/>
          <w:sz w:val="30"/>
          <w:szCs w:val="30"/>
          <w:lang w:val="en-US" w:eastAsia="zh-CN"/>
        </w:rPr>
        <w:t>10</w:t>
      </w:r>
      <w:r>
        <w:rPr>
          <w:rFonts w:hint="eastAsia" w:ascii="仿宋" w:hAnsi="仿宋" w:eastAsia="仿宋" w:cs="仿宋"/>
          <w:sz w:val="30"/>
          <w:szCs w:val="30"/>
        </w:rPr>
        <w:t>月2</w:t>
      </w:r>
      <w:r>
        <w:rPr>
          <w:rFonts w:hint="eastAsia" w:ascii="仿宋" w:hAnsi="仿宋" w:eastAsia="仿宋" w:cs="仿宋"/>
          <w:sz w:val="30"/>
          <w:szCs w:val="30"/>
          <w:lang w:val="en-US" w:eastAsia="zh-CN"/>
        </w:rPr>
        <w:t>7</w:t>
      </w:r>
      <w:r>
        <w:rPr>
          <w:rFonts w:hint="eastAsia" w:ascii="仿宋" w:hAnsi="仿宋" w:eastAsia="仿宋" w:cs="仿宋"/>
          <w:sz w:val="30"/>
          <w:szCs w:val="30"/>
        </w:rPr>
        <w:t>日至2020年</w:t>
      </w:r>
      <w:r>
        <w:rPr>
          <w:rFonts w:hint="eastAsia" w:ascii="仿宋" w:hAnsi="仿宋" w:eastAsia="仿宋" w:cs="仿宋"/>
          <w:sz w:val="30"/>
          <w:szCs w:val="30"/>
          <w:lang w:val="en-US" w:eastAsia="zh-CN"/>
        </w:rPr>
        <w:t>10</w:t>
      </w:r>
      <w:r>
        <w:rPr>
          <w:rFonts w:hint="eastAsia" w:ascii="仿宋" w:hAnsi="仿宋" w:eastAsia="仿宋" w:cs="仿宋"/>
          <w:sz w:val="30"/>
          <w:szCs w:val="30"/>
        </w:rPr>
        <w:t>月</w:t>
      </w:r>
      <w:r>
        <w:rPr>
          <w:rFonts w:hint="eastAsia" w:ascii="仿宋" w:hAnsi="仿宋" w:eastAsia="仿宋" w:cs="仿宋"/>
          <w:sz w:val="30"/>
          <w:szCs w:val="30"/>
          <w:lang w:val="en-US" w:eastAsia="zh-CN"/>
        </w:rPr>
        <w:t>29</w:t>
      </w:r>
      <w:r>
        <w:rPr>
          <w:rFonts w:hint="eastAsia" w:ascii="仿宋" w:hAnsi="仿宋" w:eastAsia="仿宋" w:cs="仿宋"/>
          <w:sz w:val="30"/>
          <w:szCs w:val="30"/>
        </w:rPr>
        <w:t>日，公示期3天。</w:t>
      </w:r>
      <w:r>
        <w:rPr>
          <w:rFonts w:hint="eastAsia" w:ascii="仿宋" w:hAnsi="仿宋" w:eastAsia="仿宋" w:cs="仿宋"/>
          <w:kern w:val="0"/>
          <w:sz w:val="30"/>
          <w:szCs w:val="30"/>
        </w:rPr>
        <w:t>如有疑议，</w:t>
      </w:r>
      <w:r>
        <w:rPr>
          <w:rFonts w:hint="eastAsia" w:ascii="仿宋" w:hAnsi="仿宋" w:eastAsia="仿宋" w:cs="仿宋"/>
          <w:sz w:val="30"/>
          <w:szCs w:val="30"/>
        </w:rPr>
        <w:t>请向高等教育研究所(合德楼211室，电话3146616）提交实名书面材料，过期不予受理。</w:t>
      </w:r>
    </w:p>
    <w:p>
      <w:pPr>
        <w:pStyle w:val="3"/>
        <w:spacing w:line="580" w:lineRule="exact"/>
        <w:ind w:firstLine="600" w:firstLineChars="200"/>
        <w:jc w:val="center"/>
        <w:rPr>
          <w:rFonts w:ascii="仿宋" w:hAnsi="仿宋" w:eastAsia="仿宋" w:cs="仿宋"/>
          <w:kern w:val="0"/>
          <w:sz w:val="30"/>
          <w:szCs w:val="30"/>
        </w:rPr>
      </w:pPr>
      <w:r>
        <w:rPr>
          <w:rFonts w:hint="eastAsia" w:ascii="仿宋" w:hAnsi="仿宋" w:eastAsia="仿宋" w:cs="仿宋"/>
          <w:kern w:val="0"/>
          <w:sz w:val="30"/>
          <w:szCs w:val="30"/>
        </w:rPr>
        <w:t xml:space="preserve">                                     </w:t>
      </w:r>
    </w:p>
    <w:p>
      <w:pPr>
        <w:pStyle w:val="3"/>
        <w:spacing w:line="580" w:lineRule="exact"/>
        <w:ind w:firstLine="600" w:firstLineChars="200"/>
        <w:jc w:val="center"/>
        <w:rPr>
          <w:rFonts w:ascii="仿宋" w:hAnsi="仿宋" w:eastAsia="仿宋" w:cs="仿宋"/>
          <w:kern w:val="0"/>
          <w:sz w:val="30"/>
          <w:szCs w:val="30"/>
        </w:rPr>
      </w:pPr>
      <w:r>
        <w:rPr>
          <w:rFonts w:hint="eastAsia" w:ascii="仿宋" w:hAnsi="仿宋" w:eastAsia="仿宋" w:cs="仿宋"/>
          <w:kern w:val="0"/>
          <w:sz w:val="30"/>
          <w:szCs w:val="30"/>
        </w:rPr>
        <w:t xml:space="preserve">                                   高等教育研究所</w:t>
      </w:r>
    </w:p>
    <w:p>
      <w:pPr>
        <w:rPr>
          <w:rFonts w:hint="eastAsia" w:ascii="仿宋" w:hAnsi="仿宋" w:eastAsia="仿宋" w:cs="仿宋"/>
          <w:kern w:val="0"/>
          <w:sz w:val="30"/>
          <w:szCs w:val="30"/>
        </w:rPr>
      </w:pPr>
      <w:r>
        <w:rPr>
          <w:rFonts w:hint="eastAsia" w:ascii="仿宋" w:hAnsi="仿宋" w:eastAsia="仿宋" w:cs="仿宋"/>
          <w:kern w:val="0"/>
          <w:sz w:val="30"/>
          <w:szCs w:val="30"/>
        </w:rPr>
        <w:t xml:space="preserve"> </w:t>
      </w:r>
      <w:r>
        <w:rPr>
          <w:rFonts w:hint="eastAsia" w:ascii="仿宋" w:hAnsi="仿宋" w:eastAsia="仿宋" w:cs="仿宋"/>
          <w:kern w:val="0"/>
          <w:sz w:val="30"/>
          <w:szCs w:val="30"/>
          <w:lang w:val="en-US" w:eastAsia="zh-CN"/>
        </w:rPr>
        <w:t xml:space="preserve">                                      </w:t>
      </w:r>
      <w:r>
        <w:rPr>
          <w:rFonts w:hint="eastAsia" w:ascii="仿宋" w:hAnsi="仿宋" w:eastAsia="仿宋" w:cs="仿宋"/>
          <w:kern w:val="0"/>
          <w:sz w:val="30"/>
          <w:szCs w:val="30"/>
        </w:rPr>
        <w:t>2020年</w:t>
      </w:r>
      <w:r>
        <w:rPr>
          <w:rFonts w:hint="eastAsia" w:ascii="仿宋" w:hAnsi="仿宋" w:eastAsia="仿宋" w:cs="仿宋"/>
          <w:kern w:val="0"/>
          <w:sz w:val="30"/>
          <w:szCs w:val="30"/>
          <w:lang w:val="en-US" w:eastAsia="zh-CN"/>
        </w:rPr>
        <w:t>10</w:t>
      </w:r>
      <w:r>
        <w:rPr>
          <w:rFonts w:hint="eastAsia" w:ascii="仿宋" w:hAnsi="仿宋" w:eastAsia="仿宋" w:cs="仿宋"/>
          <w:kern w:val="0"/>
          <w:sz w:val="30"/>
          <w:szCs w:val="30"/>
        </w:rPr>
        <w:t>月2</w:t>
      </w:r>
      <w:r>
        <w:rPr>
          <w:rFonts w:hint="eastAsia" w:ascii="仿宋" w:hAnsi="仿宋" w:eastAsia="仿宋" w:cs="仿宋"/>
          <w:kern w:val="0"/>
          <w:sz w:val="30"/>
          <w:szCs w:val="30"/>
          <w:lang w:val="en-US" w:eastAsia="zh-CN"/>
        </w:rPr>
        <w:t>7</w:t>
      </w:r>
      <w:r>
        <w:rPr>
          <w:rFonts w:hint="eastAsia" w:ascii="仿宋" w:hAnsi="仿宋" w:eastAsia="仿宋" w:cs="仿宋"/>
          <w:kern w:val="0"/>
          <w:sz w:val="30"/>
          <w:szCs w:val="30"/>
        </w:rPr>
        <w:t>日</w:t>
      </w:r>
    </w:p>
    <w:p>
      <w:pPr>
        <w:rPr>
          <w:rFonts w:hint="eastAsia" w:ascii="仿宋" w:hAnsi="仿宋" w:eastAsia="仿宋" w:cs="仿宋"/>
          <w:kern w:val="0"/>
          <w:sz w:val="30"/>
          <w:szCs w:val="30"/>
        </w:rPr>
      </w:pPr>
    </w:p>
    <w:p>
      <w:pPr>
        <w:rPr>
          <w:rFonts w:hint="eastAsia" w:ascii="仿宋" w:hAnsi="仿宋" w:eastAsia="仿宋" w:cs="仿宋"/>
          <w:kern w:val="0"/>
          <w:sz w:val="30"/>
          <w:szCs w:val="30"/>
        </w:rPr>
      </w:pPr>
    </w:p>
    <w:p>
      <w:pPr>
        <w:rPr>
          <w:rFonts w:hint="eastAsia" w:ascii="仿宋" w:hAnsi="仿宋" w:eastAsia="仿宋" w:cs="仿宋"/>
          <w:kern w:val="0"/>
          <w:sz w:val="30"/>
          <w:szCs w:val="30"/>
        </w:rPr>
      </w:pPr>
    </w:p>
    <w:p>
      <w:pPr>
        <w:rPr>
          <w:rFonts w:hint="eastAsia" w:ascii="仿宋" w:hAnsi="仿宋" w:eastAsia="仿宋" w:cs="仿宋"/>
          <w:kern w:val="0"/>
          <w:sz w:val="30"/>
          <w:szCs w:val="30"/>
        </w:rPr>
      </w:pPr>
    </w:p>
    <w:p>
      <w:pPr>
        <w:rPr>
          <w:rFonts w:hint="eastAsia" w:ascii="仿宋" w:hAnsi="仿宋" w:eastAsia="仿宋" w:cs="仿宋"/>
          <w:kern w:val="0"/>
          <w:sz w:val="30"/>
          <w:szCs w:val="30"/>
        </w:rPr>
      </w:pPr>
    </w:p>
    <w:p>
      <w:pPr>
        <w:rPr>
          <w:rFonts w:hint="eastAsia" w:ascii="仿宋" w:hAnsi="仿宋" w:eastAsia="仿宋" w:cs="仿宋"/>
          <w:kern w:val="0"/>
          <w:sz w:val="30"/>
          <w:szCs w:val="30"/>
        </w:rPr>
      </w:pPr>
    </w:p>
    <w:p>
      <w:pPr>
        <w:rPr>
          <w:rFonts w:hint="eastAsia" w:ascii="仿宋" w:hAnsi="仿宋" w:eastAsia="仿宋" w:cs="仿宋"/>
          <w:kern w:val="0"/>
          <w:sz w:val="30"/>
          <w:szCs w:val="30"/>
        </w:rPr>
        <w:sectPr>
          <w:footerReference r:id="rId3" w:type="default"/>
          <w:pgSz w:w="11906" w:h="16838"/>
          <w:pgMar w:top="1440" w:right="1800" w:bottom="1440" w:left="1800" w:header="851" w:footer="992" w:gutter="0"/>
          <w:cols w:space="425" w:num="1"/>
          <w:docGrid w:type="lines" w:linePitch="312" w:charSpace="0"/>
        </w:sectPr>
      </w:pPr>
    </w:p>
    <w:p>
      <w:pPr>
        <w:rPr>
          <w:rFonts w:hint="eastAsia" w:ascii="方正小标宋简体" w:eastAsia="方正小标宋简体"/>
          <w:sz w:val="28"/>
          <w:szCs w:val="28"/>
        </w:rPr>
      </w:pPr>
      <w:r>
        <w:rPr>
          <w:rFonts w:hint="eastAsia" w:ascii="方正小标宋简体" w:eastAsia="方正小标宋简体"/>
          <w:sz w:val="28"/>
          <w:szCs w:val="28"/>
        </w:rPr>
        <w:t>附件：</w:t>
      </w:r>
    </w:p>
    <w:p>
      <w:pPr>
        <w:jc w:val="center"/>
        <w:rPr>
          <w:rFonts w:hint="eastAsia" w:ascii="仿宋" w:hAnsi="仿宋" w:eastAsia="仿宋"/>
          <w:b/>
          <w:bCs/>
          <w:sz w:val="30"/>
          <w:szCs w:val="30"/>
          <w:lang w:eastAsia="zh-CN"/>
        </w:rPr>
      </w:pPr>
      <w:r>
        <w:rPr>
          <w:rFonts w:hint="eastAsia" w:ascii="仿宋" w:hAnsi="仿宋" w:eastAsia="仿宋" w:cs="仿宋"/>
          <w:b/>
          <w:bCs/>
          <w:sz w:val="30"/>
          <w:szCs w:val="30"/>
        </w:rPr>
        <w:t>广西中医药大学2020年校级教育教学改革与研究项目立项名单</w:t>
      </w:r>
      <w:r>
        <w:rPr>
          <w:rFonts w:hint="eastAsia" w:ascii="仿宋" w:hAnsi="仿宋" w:eastAsia="仿宋" w:cs="仿宋"/>
          <w:b/>
          <w:bCs/>
          <w:sz w:val="30"/>
          <w:szCs w:val="30"/>
          <w:lang w:eastAsia="zh-CN"/>
        </w:rPr>
        <w:t>公示</w:t>
      </w:r>
    </w:p>
    <w:tbl>
      <w:tblPr>
        <w:tblStyle w:val="6"/>
        <w:tblpPr w:leftFromText="180" w:rightFromText="180" w:vertAnchor="text" w:horzAnchor="page" w:tblpX="1447" w:tblpY="361"/>
        <w:tblOverlap w:val="never"/>
        <w:tblW w:w="14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79"/>
        <w:gridCol w:w="1037"/>
        <w:gridCol w:w="4595"/>
        <w:gridCol w:w="5332"/>
        <w:gridCol w:w="1609"/>
        <w:gridCol w:w="1445"/>
      </w:tblGrid>
      <w:tr>
        <w:tblPrEx>
          <w:tblCellMar>
            <w:top w:w="15" w:type="dxa"/>
            <w:left w:w="15" w:type="dxa"/>
            <w:bottom w:w="15" w:type="dxa"/>
            <w:right w:w="15" w:type="dxa"/>
          </w:tblCellMar>
        </w:tblPrEx>
        <w:trPr>
          <w:trHeight w:val="551"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b/>
                <w:bCs/>
                <w:color w:val="000000"/>
                <w:kern w:val="0"/>
                <w:szCs w:val="21"/>
                <w:lang w:bidi="ar"/>
              </w:rPr>
              <w:t>序号</w:t>
            </w:r>
          </w:p>
        </w:tc>
        <w:tc>
          <w:tcPr>
            <w:tcW w:w="1037" w:type="dxa"/>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bCs/>
                <w:color w:val="000000"/>
                <w:kern w:val="0"/>
                <w:szCs w:val="21"/>
                <w:lang w:bidi="ar"/>
              </w:rPr>
              <w:t>立项类型</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b/>
                <w:bCs/>
                <w:color w:val="000000"/>
                <w:kern w:val="0"/>
                <w:szCs w:val="21"/>
                <w:lang w:bidi="ar"/>
              </w:rPr>
              <w:t>项目名称</w:t>
            </w:r>
          </w:p>
        </w:tc>
        <w:tc>
          <w:tcPr>
            <w:tcW w:w="5332" w:type="dxa"/>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lang w:bidi="ar"/>
              </w:rPr>
              <w:t>申请人及项目组成员</w:t>
            </w:r>
          </w:p>
        </w:tc>
        <w:tc>
          <w:tcPr>
            <w:tcW w:w="1609" w:type="dxa"/>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lang w:bidi="ar"/>
              </w:rPr>
              <w:t>部门</w:t>
            </w:r>
          </w:p>
        </w:tc>
        <w:tc>
          <w:tcPr>
            <w:tcW w:w="1445" w:type="dxa"/>
            <w:vAlign w:val="center"/>
          </w:tcPr>
          <w:p>
            <w:pPr>
              <w:widowControl/>
              <w:jc w:val="center"/>
              <w:textAlignment w:val="center"/>
              <w:rPr>
                <w:rFonts w:ascii="仿宋" w:hAnsi="仿宋" w:eastAsia="仿宋" w:cs="仿宋"/>
                <w:b/>
                <w:color w:val="000000"/>
                <w:kern w:val="0"/>
                <w:szCs w:val="21"/>
                <w:lang w:bidi="ar"/>
              </w:rPr>
            </w:pPr>
            <w:r>
              <w:rPr>
                <w:rFonts w:hint="eastAsia" w:ascii="仿宋" w:hAnsi="仿宋" w:eastAsia="仿宋" w:cs="仿宋"/>
                <w:b/>
                <w:color w:val="000000"/>
                <w:kern w:val="0"/>
                <w:szCs w:val="21"/>
                <w:lang w:bidi="ar"/>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1</w:t>
            </w:r>
          </w:p>
        </w:tc>
        <w:tc>
          <w:tcPr>
            <w:tcW w:w="1037" w:type="dxa"/>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color w:val="000000"/>
                <w:kern w:val="0"/>
                <w:szCs w:val="21"/>
                <w:lang w:bidi="ar"/>
              </w:rPr>
              <w:t>招标项目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高校教学质量评价系统的开发和应用研究</w:t>
            </w:r>
          </w:p>
        </w:tc>
        <w:tc>
          <w:tcPr>
            <w:tcW w:w="5332"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唐孙茹、罗俊、杜惠娟、陈中全、林政艺、蓝丽霞、黄金春、谭振、吴佳蔚、谭积斌、梁秋远</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现代教育技术与信息中心</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2020ZB001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重大项目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基于“课程思政”背景下的中医内科学课程教学改革</w:t>
            </w:r>
          </w:p>
        </w:tc>
        <w:tc>
          <w:tcPr>
            <w:tcW w:w="5332"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黄鸿娜、胡跃强、秦燕、苏博慧、黄晶晶、李景玉、舒发明、林勇</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第一临床医学院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2020ZD001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重大项目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基于金课建设背景下“中医药经典能力等级考试” 考评体系的构建与实践</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谢胜、区锏、艾军、宫文浩、黄鸿娜</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第一临床医学院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2020ZD002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重大项目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16"/>
                <w:szCs w:val="16"/>
                <w:lang w:bidi="ar"/>
              </w:rPr>
              <w:t>新工科背景下，以OBE为导向，基于“一主两翼”模式 提升中医药院校制药工程专业学生工程设计能力的探索</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黄宏妙、郭占京、奉建芳、丁世磊、廖夏云、张强</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药学院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2020ZD003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5</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重大项目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基于大健康战略背景下中医康复学“五融一体”人才培养模式的探索与创新</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桂雄斌、王开龙、区锏、徐张杰、农焦、陈穗霞</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第一临床医学院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2020ZD004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6</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重大项目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16"/>
                <w:szCs w:val="16"/>
                <w:lang w:bidi="ar"/>
              </w:rPr>
              <w:t>基于“速课堂+BOPPPS”教学模式在中医院校《组织学与胚胎学》理论课程教学改革与实践</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黎明星、何国珍、岑妍慧、赵飞兰、范蓉、黄荣师、周崇、王青、周艳平、黄愉淋</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基础医学院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2020ZD005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7</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重大项目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基于 VR 实景漫游的交互式微课在线上线下系统解剖实验教学中的应用研究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玉光强、蒋葵、廖彦博、罗俊、白琳、苏阳、丁健、何怡宁</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基础医学院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2020ZD006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8</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重大项目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一流课程建设背景下《中医临床技能培训》混合式教学模式的探索与实践</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李晏杰、钟远鸣、区锏、黄彬、覃锋、唐子芹、林勇、徐张杰</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第一临床医学院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2020ZD007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9</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重大项目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16"/>
                <w:szCs w:val="16"/>
                <w:lang w:bidi="ar"/>
              </w:rPr>
              <w:t>“互联网+”时代下MOOC+SPOC+翻转课堂混合教学模式 在《急诊与灾难医学》的应用研究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黄清玉、刘鹏业、欧阳国林、陈逢春、龚斌、龚圣雯</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瑞康临床医学院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2020ZD008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10</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重大项目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SPOC嵌入医学研究生临床教学模式的研究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胡跃强、黄河、陈炜、梁妮、秦红玲、张志伟</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第一临床医学院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2020ZD009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11</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重大项目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16"/>
                <w:szCs w:val="16"/>
                <w:lang w:bidi="ar"/>
              </w:rPr>
              <w:t>“科研育人”视域下护理学创新型人才培养模式研究---基于临床实践全程科研思维训练模式的探讨</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黄沂、赵玉玲、周艳琼、陈海燕、苏宇虹、蒋菲菲、赵淋琪、刘玲玲、杨芳</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第一临床医学院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2020ZD010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12</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重点项目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人体寄生虫学线上线下混合式实验教学的探索与实践</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梁裕芬、陈海英、阮子芸、李健、李景云</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基础医学院</w:t>
            </w:r>
          </w:p>
        </w:tc>
        <w:tc>
          <w:tcPr>
            <w:tcW w:w="1445"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2020A001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13</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重点项目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基于BOPPPS教学模式的“韦氏整脊手法”智慧教室信息化教学资源的建设与应用研究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张璇、田君明、韦明、陆延、刘渊、黄有荣、何心愉、陈龙豪</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骨伤学院（骨伤研究所）</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2020A002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14</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重点项目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面向深层学习的中医外科学课程混合式学习设计及激励策略研究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徐张杰、区锏、张力、覃锋、张春霞、郭璐、黄琴</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第一临床医学院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2020A003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15</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重点项目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PBL与翻转课堂教学模式在中医本科生《急诊与灾难医学》课程应用的探索研究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蓝洲、邓海霞、高玉广、廖昭海、赵旋1、陀鹏、陈兴华</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第一临床医学院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2020A004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16</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重点项目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中医急诊医学实训混合式教学“三导”模式的实践与研究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卢健棋、班莹、黄龙记、王政林、苏瑞军、程越、杨亚龙、区锏、邱运宝、梁英业</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第一临床医学院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2020A005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17</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重点项目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基于MOOC和SPOC分层的《中医筋伤学》混合课程构建</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周红海、陆延、何心愉、韦贵康、韦理、张璇、谢冰、陈中全</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骨伤学院（骨伤研究所）</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2020A006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18</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重点项目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基于思维导图的PBL模式探索中医学专业生物化学教学改革</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陈振兴、卓少元、钟卫干、王超、韦玉兰、尚立国、封毅、刘鹏、乐宁、刘靖</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基础医学院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2020A007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19</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重点项目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生理学线上线下混合式一流课程建设路径研究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韦燕飞、伍冠一、黄德伦、钟静、刘雪梅、马静、陈永欣、韦晓洁、周艳平、韩丝银、马远征</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基础医学院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2020A008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20</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重点项目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基于ADDIE模型探究微课结合翻转课堂 在急诊科临床教学中的应用效果</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王兵、曾鸿孟、胡嗣钦、陈林、易海魁、李晏杰、郑海军、覃海谦</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第一临床医学院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2020A009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21</w:t>
            </w:r>
          </w:p>
        </w:tc>
        <w:tc>
          <w:tcPr>
            <w:tcW w:w="1037" w:type="dxa"/>
            <w:vAlign w:val="center"/>
          </w:tcPr>
          <w:p>
            <w:pPr>
              <w:widowControl/>
              <w:jc w:val="center"/>
              <w:textAlignment w:val="center"/>
              <w:rPr>
                <w:rFonts w:ascii="仿宋" w:hAnsi="仿宋" w:eastAsia="仿宋" w:cs="仿宋"/>
                <w:color w:val="0000FF"/>
                <w:kern w:val="0"/>
                <w:szCs w:val="21"/>
                <w:lang w:bidi="ar"/>
              </w:rPr>
            </w:pPr>
            <w:r>
              <w:rPr>
                <w:rFonts w:hint="eastAsia" w:ascii="宋体" w:hAnsi="宋体" w:cs="宋体"/>
                <w:color w:val="0000FF"/>
                <w:kern w:val="0"/>
                <w:sz w:val="20"/>
                <w:szCs w:val="20"/>
                <w:lang w:bidi="ar"/>
              </w:rPr>
              <w:t>重点项目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FF"/>
                <w:szCs w:val="21"/>
              </w:rPr>
            </w:pPr>
            <w:r>
              <w:rPr>
                <w:rFonts w:hint="eastAsia" w:ascii="宋体" w:hAnsi="宋体" w:cs="宋体"/>
                <w:color w:val="0000FF"/>
                <w:kern w:val="0"/>
                <w:sz w:val="20"/>
                <w:szCs w:val="20"/>
                <w:lang w:bidi="ar"/>
              </w:rPr>
              <w:t>OBE理念下以思维导图为主导的多元化教学模式在中医妇科学教学中的研究与应用</w:t>
            </w:r>
          </w:p>
        </w:tc>
        <w:tc>
          <w:tcPr>
            <w:tcW w:w="5332" w:type="dxa"/>
            <w:vAlign w:val="center"/>
          </w:tcPr>
          <w:p>
            <w:pPr>
              <w:widowControl/>
              <w:jc w:val="center"/>
              <w:textAlignment w:val="center"/>
              <w:rPr>
                <w:rFonts w:ascii="宋体" w:hAnsi="宋体" w:cs="宋体"/>
                <w:color w:val="0000FF"/>
                <w:sz w:val="20"/>
                <w:szCs w:val="20"/>
              </w:rPr>
            </w:pPr>
            <w:r>
              <w:rPr>
                <w:rFonts w:hint="eastAsia" w:ascii="宋体" w:hAnsi="宋体" w:cs="宋体"/>
                <w:color w:val="0000FF"/>
                <w:kern w:val="0"/>
                <w:sz w:val="20"/>
                <w:szCs w:val="20"/>
                <w:lang w:bidi="ar"/>
              </w:rPr>
              <w:t>张华、王梦莹、莫海霞、唐盼、吴金惠、潘小芳、覃莹莹、杨日美</w:t>
            </w:r>
          </w:p>
        </w:tc>
        <w:tc>
          <w:tcPr>
            <w:tcW w:w="1609" w:type="dxa"/>
            <w:vAlign w:val="center"/>
          </w:tcPr>
          <w:p>
            <w:pPr>
              <w:widowControl/>
              <w:jc w:val="center"/>
              <w:textAlignment w:val="center"/>
              <w:rPr>
                <w:rFonts w:ascii="仿宋" w:hAnsi="仿宋" w:eastAsia="仿宋" w:cs="仿宋"/>
                <w:color w:val="0000FF"/>
                <w:szCs w:val="21"/>
              </w:rPr>
            </w:pPr>
            <w:r>
              <w:rPr>
                <w:rFonts w:hint="eastAsia" w:ascii="宋体" w:hAnsi="宋体" w:cs="宋体"/>
                <w:color w:val="0000FF"/>
                <w:kern w:val="0"/>
                <w:sz w:val="20"/>
                <w:szCs w:val="20"/>
                <w:lang w:bidi="ar"/>
              </w:rPr>
              <w:t>第一临床医学院</w:t>
            </w:r>
          </w:p>
        </w:tc>
        <w:tc>
          <w:tcPr>
            <w:tcW w:w="1445" w:type="dxa"/>
            <w:vAlign w:val="center"/>
          </w:tcPr>
          <w:p>
            <w:pPr>
              <w:widowControl/>
              <w:jc w:val="center"/>
              <w:textAlignment w:val="center"/>
              <w:rPr>
                <w:rFonts w:ascii="仿宋" w:hAnsi="仿宋" w:eastAsia="仿宋" w:cs="仿宋"/>
                <w:color w:val="0000FF"/>
                <w:kern w:val="0"/>
                <w:szCs w:val="21"/>
                <w:lang w:bidi="ar"/>
              </w:rPr>
            </w:pPr>
            <w:r>
              <w:rPr>
                <w:rFonts w:hint="eastAsia" w:ascii="宋体" w:hAnsi="宋体" w:cs="宋体"/>
                <w:color w:val="0000FF"/>
                <w:sz w:val="20"/>
                <w:szCs w:val="20"/>
              </w:rPr>
              <w:t>2020A010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22</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重点项目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“雨课堂”+同伴教育的混合教学模式在护理专业学生基础护理实训技能的应用研究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兰艺、吴彬、马秋平、李睿琳、黎剑云、冯超、石文青</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护理学院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2020A011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23</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重点项目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基于“微课+雨课堂”的混合式教学模式在《生物化学》大班教学中的应用研究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尚立国、卓少元、封毅、乐宁、王超、陈振兴、唐小丽</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基础医学院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2020A012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24</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重点项目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基于第二课堂成绩单制度下的中医药类高校大学生创新创业训练项目研究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唐子芹、钟远鸣、肖华业、黄彬、李晏杰、林勇、卢思名、徐青</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第一临床医学院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2020A013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25</w:t>
            </w:r>
          </w:p>
        </w:tc>
        <w:tc>
          <w:tcPr>
            <w:tcW w:w="1037" w:type="dxa"/>
            <w:vAlign w:val="center"/>
          </w:tcPr>
          <w:p>
            <w:pPr>
              <w:widowControl/>
              <w:jc w:val="center"/>
              <w:textAlignment w:val="center"/>
              <w:rPr>
                <w:rFonts w:ascii="仿宋" w:hAnsi="仿宋" w:eastAsia="仿宋" w:cs="仿宋"/>
                <w:color w:val="0000FF"/>
                <w:kern w:val="0"/>
                <w:szCs w:val="21"/>
                <w:lang w:bidi="ar"/>
              </w:rPr>
            </w:pPr>
            <w:r>
              <w:rPr>
                <w:rFonts w:hint="eastAsia" w:ascii="宋体" w:hAnsi="宋体" w:cs="宋体"/>
                <w:color w:val="0000FF"/>
                <w:kern w:val="0"/>
                <w:sz w:val="20"/>
                <w:szCs w:val="20"/>
                <w:lang w:bidi="ar"/>
              </w:rPr>
              <w:t>重点项目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FF"/>
                <w:szCs w:val="21"/>
              </w:rPr>
            </w:pPr>
            <w:r>
              <w:rPr>
                <w:rFonts w:hint="eastAsia" w:ascii="宋体" w:hAnsi="宋体" w:cs="宋体"/>
                <w:color w:val="0000FF"/>
                <w:kern w:val="0"/>
                <w:sz w:val="16"/>
                <w:szCs w:val="16"/>
                <w:lang w:bidi="ar"/>
              </w:rPr>
              <w:t>基于PDCA理念指导下“微课+翻转课堂”教学模式在妇产科实用型人才培养的改革与实践</w:t>
            </w:r>
          </w:p>
        </w:tc>
        <w:tc>
          <w:tcPr>
            <w:tcW w:w="5332" w:type="dxa"/>
            <w:vAlign w:val="center"/>
          </w:tcPr>
          <w:p>
            <w:pPr>
              <w:widowControl/>
              <w:jc w:val="center"/>
              <w:textAlignment w:val="center"/>
              <w:rPr>
                <w:rFonts w:ascii="宋体" w:hAnsi="宋体" w:cs="宋体"/>
                <w:color w:val="0000FF"/>
                <w:sz w:val="20"/>
                <w:szCs w:val="20"/>
              </w:rPr>
            </w:pPr>
            <w:r>
              <w:rPr>
                <w:rFonts w:hint="eastAsia" w:ascii="宋体" w:hAnsi="宋体" w:cs="宋体"/>
                <w:color w:val="0000FF"/>
                <w:kern w:val="0"/>
                <w:sz w:val="20"/>
                <w:szCs w:val="20"/>
                <w:lang w:bidi="ar"/>
              </w:rPr>
              <w:t>蓝雪琴、莫海霞、唐盼、黄慧红、陈璇、梁娟、梁婉桃、李秀芳、董萌萌、覃莹莹、高芳萍、李珊</w:t>
            </w:r>
          </w:p>
        </w:tc>
        <w:tc>
          <w:tcPr>
            <w:tcW w:w="1609" w:type="dxa"/>
            <w:vAlign w:val="center"/>
          </w:tcPr>
          <w:p>
            <w:pPr>
              <w:widowControl/>
              <w:jc w:val="center"/>
              <w:textAlignment w:val="center"/>
              <w:rPr>
                <w:rFonts w:ascii="仿宋" w:hAnsi="仿宋" w:eastAsia="仿宋" w:cs="仿宋"/>
                <w:color w:val="0000FF"/>
                <w:szCs w:val="21"/>
              </w:rPr>
            </w:pPr>
            <w:r>
              <w:rPr>
                <w:rFonts w:hint="eastAsia" w:ascii="宋体" w:hAnsi="宋体" w:cs="宋体"/>
                <w:color w:val="0000FF"/>
                <w:kern w:val="0"/>
                <w:sz w:val="20"/>
                <w:szCs w:val="20"/>
                <w:lang w:bidi="ar"/>
              </w:rPr>
              <w:t>第一临床医学院</w:t>
            </w:r>
          </w:p>
        </w:tc>
        <w:tc>
          <w:tcPr>
            <w:tcW w:w="1445" w:type="dxa"/>
            <w:vAlign w:val="center"/>
          </w:tcPr>
          <w:p>
            <w:pPr>
              <w:widowControl/>
              <w:jc w:val="center"/>
              <w:textAlignment w:val="center"/>
              <w:rPr>
                <w:rFonts w:ascii="仿宋" w:hAnsi="仿宋" w:eastAsia="仿宋" w:cs="仿宋"/>
                <w:color w:val="0000FF"/>
                <w:kern w:val="0"/>
                <w:szCs w:val="21"/>
                <w:lang w:bidi="ar"/>
              </w:rPr>
            </w:pPr>
            <w:r>
              <w:rPr>
                <w:rFonts w:hint="eastAsia" w:ascii="宋体" w:hAnsi="宋体" w:cs="宋体"/>
                <w:color w:val="0000FF"/>
                <w:sz w:val="20"/>
                <w:szCs w:val="20"/>
              </w:rPr>
              <w:t>2020A014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26</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重点项目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基于SPOC的混合式教学模式与案例讨论式教学方法在医学影像学教学的应用研究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陆玉敏、莫夏萍、何欣、陈文福、梁玲艳、段高雄、罗芳、高</w:t>
            </w:r>
            <w:bookmarkStart w:id="0" w:name="_GoBack"/>
            <w:bookmarkEnd w:id="0"/>
            <w:r>
              <w:rPr>
                <w:rFonts w:hint="eastAsia" w:ascii="宋体" w:hAnsi="宋体" w:cs="宋体"/>
                <w:color w:val="000000"/>
                <w:kern w:val="0"/>
                <w:sz w:val="20"/>
                <w:szCs w:val="20"/>
                <w:lang w:bidi="ar"/>
              </w:rPr>
              <w:t>春萍</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第一临床医学院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2020A015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27</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重点项目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O2O混合教学模式于助产学专业《护理学基础》课程的应用探究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冯超、兰艺、覃勤、石文青、黎剑云</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护理学院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2020A016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28</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重点项目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基于“中药现代化创新型人才培养”的中药化学实验教学改革的研究与实践</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廖广凤、卢汝梅、韦建华、李兵、陈美安</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药学院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2020A017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29</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重点项目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MOOC+CBL混合式翻转课堂在《中医内科学》教学中的探索与应用研究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邱华、毛德文、龙富立、张荣臻、石清兰、刘茵</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第一临床医学院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2020A018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30</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重点项目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构建创新临床能力培养的《健康评估》思维导图在护理教学查房的研究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秦明芳、王思婷、韦丽华、周梦思、张媛媛、廖华、梁海燕、陈美江、蒋华艳、钟灿华、李雪娟、韦健玲、庞春、杨丽岚、银星凤、冒永香、蓝春梅、兰秋敏、黄宏汰、田甜</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瑞康临床医学院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2020A019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31</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重点项目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基于SPOC模式下的CBL案例微课在《内科护理学》教学中的应用研究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覃祚莲、邓旭、赵玉玲、陆小娇、陆丽娟、李丽、刘娥</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第一临床医学院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2020A020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32</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重点项目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“互联网+”时代基于Kahoot的《药物分析》智慧课堂的构建</w:t>
            </w:r>
          </w:p>
        </w:tc>
        <w:tc>
          <w:tcPr>
            <w:tcW w:w="5332"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丘琴、梁爽、甄汉深、梁洁、潘小姣、曹玉嫔、韦志英</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药学院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2020A021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33</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重点项目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基于CBS结合思维导图教学法在医学生实习教学中的应用研究</w:t>
            </w:r>
          </w:p>
        </w:tc>
        <w:tc>
          <w:tcPr>
            <w:tcW w:w="5332"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龚斌、欧阳国林、黄清玉、郑晓峰、李业翔、龚圣雯、黄秋兰</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瑞康临床医学院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2020A022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34</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重点项目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Think-pair-share教学模式下的TCN－mini－CEX在中医护理生临床带教中的应用研究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梁飞红、石玮、霍佳妮、姚菲、黎柳娟、谭丽丹、梁洁凝、赵玉玲</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第一临床医学院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2020A023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35</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重点项目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“翻转课堂”联合案例式教学在&lt;&lt;中医妇科学&gt;&gt;中的应用</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秦明春、张吉、周英惠、刘英、吴媛媛、金芬</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瑞康临床医学院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2020A024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36</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重点项目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课程思政视域下构建“三全育人”长效机制研究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杨亚玲、刘小江、刘澈、蒙均敏</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马克思主义学院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2020A025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37</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重点项目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回归中医传统教育的“杏林通”中医基础知识训练APP的开发与应用</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郑春成、曾清清、蒋筱、杨力强、祝美珍、王东、谢敏文、韦林思琪</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基础医学院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2020A026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38</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重点项目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基于MOOC的中药鉴定学混合式教学模式研究与实践</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黄勇、田慧、马雯芳、樊兰兰、黎理、杜沛霖、谭勇、姚绍嫦</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药学院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2020A027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39</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重点项目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16"/>
                <w:szCs w:val="16"/>
                <w:lang w:bidi="ar"/>
              </w:rPr>
              <w:t>以器官系统为中心（Organ-systems-based Curriculum,OSBC）联合雨课堂的教学方法在消化内科护理教学中的应用研究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周梦思、秦明芳、覃毅、李日英、梁悄、陆玉霞、王艳平、范钰萍、岑艺、黄瑞柳</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瑞康临床医学院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2020A028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40</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重点项目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基于中医思维培养的病案情景模拟结合雨课堂在《方剂学》教学的研究与实践</w:t>
            </w:r>
          </w:p>
        </w:tc>
        <w:tc>
          <w:tcPr>
            <w:tcW w:w="5332"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李卫民</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基础医学院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2020A029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41</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重点项目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微课结合情景模拟演练在急诊临床带教中的应用研究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陈林、胡嗣钦、王兵、易海魁、曾鸿孟、覃海谦、郑海军</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第一临床医学院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2020A030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42</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重点项目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人体VR虚拟科学馆在解剖学实验课中的应用与探索</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白琳、李永亮、郑长民、张胜昌、廖彦博、苏阳、玉光强</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基础医学院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2020A031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43</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重点项目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非标准化考核在护理教育中的探索与应用—以《护理学基础》课程为依托</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石文青、兰艺、冯超、黎剑云、李睿琳</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护理学院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2020A032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44</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重点项目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临床药物治疗学课程思政教学改革研究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邵庆瑞、李健哲、李晓平、孙悦文、周光宇、陈清洁、梁秀群、周莹</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瑞康临床医学院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2020A033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45</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重点项目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PBL教学法在非直属专科医院后期实践教学的探索（以广西骨伤医院为例）</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李宏宇、孟林、闭永杰、刘璟、韦雯冰、韦明照</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广西骨伤医院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2020A034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46</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重点项目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BOPPPS教学模式结合“雨课堂”对实习护生小讲课的应用研究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黄紫倩、胡恕艳、黄华苓、甘业静、梁姜燕、王晋平、黄雪花</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第一临床医学院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2020A035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47</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重点项目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“互联网+翻转课堂”在《食品原料与添加剂》课程的教学改革与实践</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谢文佩、谭强、廖夏云、祁静、于迪、孙一铭、易湘茜、罗湘、胡德辉</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药学院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2020A036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48</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重点项目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医学院校《合唱与指挥》课程融入思政元素的改革与研究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李怀泽、韦俞伽、崔凡、庞邦君、熊素玲、杨删、王佳林</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公共卫生与管理学院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2020A037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49</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重点项目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美国心脏协会基础生命支持培训模式对护生成人胸外按压的效果研究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钟永凤、邓海霞、梁芳芳、温可华、李佩霞、李依垚、黎小瑚</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第一临床医学院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2020A038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50</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重点项目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以药材特性为导向的野外教学模式研究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郭敏、李永华、李斌、汝梅、戴忠华、梁子宁</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药学院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2020A039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51</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重点项目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线下课堂联合线上智慧树视频混合式教学在中医骨伤科学的实践研究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梅其杰、袁长深、段戡、郭锦荣、曾平、曾超、程越</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第一临床医学院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2020A040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52</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重点项目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PBL案例情景模拟教学在外护实训技能培训中的混合性研究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杨永、张瑛、陈玲、胡艳宁</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护理学院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2020A041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53</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重点项目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学业导师制在本科生培养及提高毕业论文质量 应用的探究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张强、丁世磊、罗小莉、杨涛、戴航、黄宏妙、程世贤、李灵</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药学院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2020A042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54</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重点项目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3D 可视化教学软件结合CBL及PBL教学模式在骨科手术学中的应用研究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章晓云、陈跃平、韩杰、陈涛、容向宾、冯丽丽、陈锋、黄月香、周毅</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瑞康临床医学院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2020A043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55</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重点项目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基于“互联网+雨课堂”的翻转课堂教学模式在中医骨伤科学专业实践教学的探索与研究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孙斌、曾平、秦琴琴、黄肖华、程越、李德剑</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第一临床医学院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2020A044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56</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重点项目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16"/>
                <w:szCs w:val="16"/>
                <w:lang w:bidi="ar"/>
              </w:rPr>
              <w:t>以“新型冠状病毒肺炎疫情”为契机，“课程思政”融入临床实践教学的协同育人模式探究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钟洁、谭璐璐、梁妮、梁明辉、宋曦、张志伟、刘露露、梁蘭蘭</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第一临床医学院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2020A045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57</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巴林特小组在大学英语课堂提高学生听说能力的应用研究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郭军、周锋、汪依桃、黄敏、何严、吴世敏、谢海涛、柳江帆</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外语部</w:t>
            </w:r>
          </w:p>
        </w:tc>
        <w:tc>
          <w:tcPr>
            <w:tcW w:w="1445"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2020B001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58</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基于SPOC+翻转课堂混合式教学模式的食品专业实习教学信息化改革与实践</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毛彦、谭强、孙一铭、易湘茜、范丽丽、罗湘</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药学院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59</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后疫情时代“互联网+BOPPPS”混合式教学在《急诊与灾难医学》课程的教学改革与实践</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王清坚、胡嗣钦、陈雅璐、陈林、王兵、易海魁、张元侃、胡勇、黄德庆、曾鸿孟、郑海军、覃海谦、赵海涛、何发娟、班莹</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第一临床医学院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60</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基于项目驱动的神经内科临床教学探索</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黄河、胡跃强、梁妮、陈炜、钟洁、谈远锋、郑文燕、邓真麟</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第一临床医学院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61</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基于“四个回归”背景下中医药高校教研室“四化”建设路径研究与探讨</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张荣臻、杨亚龙、莫安胜、黄鼎阳、区锏、金勇、邱运宝、程越、班莹</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第一临床医学院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62</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16"/>
                <w:szCs w:val="16"/>
                <w:lang w:bidi="ar"/>
              </w:rPr>
              <w:t>微信雨课堂结合思维导图融入教学设计的互动式教学模式在《医学免疫学与微生物学》的探索与实践</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梁亮、运晨霞、农清栋、韦海宏、屈泽强、吴展帅、聂歆闻、兰太进</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基础医学院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63</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“国球精神”融入高校体育思政课的教改研究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陆春敏、李荣源、石荣群、吴国天、覃月泉、罗荣海、莫丽婷、陈桂真、王惟钊、徐传仪</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体育部</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64</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18"/>
                <w:szCs w:val="18"/>
                <w:lang w:bidi="ar"/>
              </w:rPr>
              <w:t>基于OBE理念“PBL+BOPPPS融合于翻转课堂”教学创新模式在中医内科学的应用研究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王晋平、唐农、莫雪妮、古联、李景玉、黄潇</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第一临床医学院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65</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骨科临床标准病例库与微课结合的教学方法在住院医师规范化培养中的应用研究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车宇、丰哲、莫坚、陈宜、丰新健、覃杰、冯思坛、梁海波、岑良珏</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瑞康临床医学院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66</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基于成果导向教育(OBE)理念在心肺复苏实训中的应用与研究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黄德庆、张元侃、王政林、高玉广、胡嗣钦、黄夏冰、胡勇、庞延、何发娟</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第一临床医学院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67</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基于“1+X证书”背景下的《护理药理》智慧课堂教学模式的探索与实践</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曾颖虹、覃梦岚、郭振旺、阳绿清、李雪宁、黄敏茹</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高等职业技术学院（广西中医学校）合署</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68</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中医骨伤本科毕业生质量调查结果应用的研究与实践</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刘渊、孙雪莲、温健、张璇、黄伟恩</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骨伤学院（骨伤研究所）</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69</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医教协同发展背景下（壮医）实习医师临床思维能力的培养研究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宁碧彩、覃倩、黄国东、农田泉、戴建业、陈姗、刘莉</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广西国际壮医医院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70</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fldChar w:fldCharType="begin"/>
            </w:r>
            <w:r>
              <w:instrText xml:space="preserve"> HYPERLINK "张玲玲+基于SPOC的混合式教学模式《推拿治疗学》课程教学改革应用与研究.pdf" </w:instrText>
            </w:r>
            <w:r>
              <w:fldChar w:fldCharType="separate"/>
            </w:r>
            <w:r>
              <w:rPr>
                <w:rStyle w:val="8"/>
                <w:rFonts w:hint="eastAsia" w:ascii="宋体" w:hAnsi="宋体" w:cs="宋体"/>
                <w:sz w:val="20"/>
                <w:szCs w:val="20"/>
                <w:u w:val="none"/>
              </w:rPr>
              <w:t>基于SPOC的混合式教学模式《推拿治疗学》课程教学改革应用与研究</w:t>
            </w:r>
            <w:r>
              <w:rPr>
                <w:rStyle w:val="8"/>
                <w:rFonts w:hint="eastAsia" w:ascii="宋体" w:hAnsi="宋体" w:cs="宋体"/>
                <w:sz w:val="20"/>
                <w:szCs w:val="20"/>
                <w:u w:val="none"/>
              </w:rPr>
              <w:fldChar w:fldCharType="end"/>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张玲玲、黄锦军、雷龙鸣、林文伟、褚丽君</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第一临床医学院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71</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BOPPPS用于产科实践教学的探讨</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梁颖、张荣欣、黄翎、覃薇、尹姝珂</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瑞康临床医学院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72</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数字骨科技术结合现代教学模式在壮医伤科规范化传承教育中的应用</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张勇、张文捷、刘明伟、张聃、唐广军、魏亚新、汪丽伟</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广西国际壮医医院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73</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“清正医风”建设背景下的教学改革研究——以卫生法学课程为例</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奈良毅、李月发、渠淑洁、杨宗藩、赵竹君、孙方圆</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公共卫生与管理学院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74</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护理实习生对PICC相关知识需求的横断面调查及影响因素分析</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孔秀莲、覃若梅、李静、韦金鸾、唐敏、蒙乂翠、刘玲玲</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第一临床医学院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75</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逆袭《临床检验医学案例分析》来提高医学检验技术专业实习生的临床思维能力</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戴芳、朱冬敏、黄冬梅、唐亚平、粟艳梅、庞玉凤、刘婷</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瑞康临床医学院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76</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“BOPPPS”教学模式在妇科护理教学小讲课中应用的改革与实践研究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言彩蝶、黄沂、韦娟、蒋争艳、蒋菲菲、秦琴琴、陆芦、张玮珈、吴雪蜜</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第一临床医学院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77</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药学类后期实践教学改革的研究与实践</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梁爽、秦华珍、冯旭、吴秀彩、程若敏、丘琴、吴玉峰</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药学院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78</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基于人本主义教育理论的混合式体育教学模式研究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覃月泉、李荣源、吴国天、韦东谊、张静文、刘懿翀</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体育部</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79</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SBAR交班模式在培养本科实习护生临床思维中的应用研究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黄善霞、邓月桂、刘家丽、何媚、张裕、覃曼琳、梁晓君</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第一临床医学院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80</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基于微课辅助问题式学习法模式在护理本科实习生内科护理实习教学中的应用研究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陆哈琳、覃祚莲、谢永祥、韦美丹、廖朝艳、覃坤兰、李华春、卢东玲</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第一临床医学院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81</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线上线下结合教学将经典理论融入《中医外科学》本科教学的研究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张力、刘明、张春霞、李杰辉、秦耀琮、覃锋、王峰、狄钾骐、罗丹</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第一临床医学院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82</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建构主义视角下“翻转课堂”在医学遗传学教学中的研究与实践</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李景云、梁裕芬、刘绍良、黄愉淋、李熠毅</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基础医学院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83</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16"/>
                <w:szCs w:val="16"/>
                <w:lang w:bidi="ar"/>
              </w:rPr>
              <w:t>马克思主义法学基本理论融入《思想道德修养与法律基础》课堂的实践与效果研究——以广西中医药大学为例</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赵竹君、谢春、韦兆钧、颜维海、孙方圆、刘小江、岑孝清</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马克思主义学院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84</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基于有效教学行为的中医医院临床护理教师岗位胜任力的实证研究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苏宇虹、黄沂、赵玉玲、陈晓玲、杨小凤、梁芳芳、梁佳、郑春秋、苏惠芬、温可华、刘玲玲</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第一临床医学院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85</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16"/>
                <w:szCs w:val="16"/>
                <w:lang w:bidi="ar"/>
              </w:rPr>
              <w:t>基于“雨课堂+CDIO”的线上线下混合式教学模式在《老年护理学》临床见习中的实践与研究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唐旭丽、黄玉娴、石文青、苏博慧、石冬梅、刘玲村、李茂诚</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第一临床医学院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86</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病案教学法在中医儿科学教学中的应用</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洪金玲、梁文旺</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瑞康临床医学院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87</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16"/>
                <w:szCs w:val="16"/>
                <w:lang w:bidi="ar"/>
              </w:rPr>
              <w:t>基于对分易教学平台的对分课堂教学模式在中药药剂学理论课程教学中的探索与应用研究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谢谭芳、王志萍、刘雪梅、梁健钦、黎芳、陈卫卫、丁文雅</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药学院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88</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“互联网+”背景下SPOC混合式教学模式在中医学专业瑶医限选课中的探索与实践</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张曼、李彤、戴建业、李耀燕、张齐、高月、杜俊芳、何晓微</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瑶医药学院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89</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预查房模式在中医内科实习教学中的应用探索</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黄晶晶、胡跃强、刘熙荣、林元佳、周衡、黄国初、林华胜、牟丽环、张夏</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第一临床医学院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90</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思维导图结合PBL在妇产科临床教学中的应用策略</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黄慧红、苏以燕、梁春燕、黄花群、宋丽敏、黄秀珍、谭金娥</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第一临床医学院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91</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《中医内科学》混合式课程建设与应用研究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李景玉、胡跃强、黄鸿娜、陈炜、林琳、王晋平、苏博慧、谭璐璐</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第一临床医学院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92</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基于智慧教室英语教学融入中医药传统故事的理论与实践研究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李少丽、陈立群、韦健、方宝、仝慧茹、柳江帆、罗梅、黄敏、滕今婷、陈滢竹</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外语部</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93</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基于学生自主命题的护理心理学试题库的建设和应用研究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陈景霞、蓝红霞、黄静铭、康秀谦、周春芳、杨冰</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护理学院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94</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基于“卓越中医”人才培养模式开展黄帝内针教学与实践的探索研究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谢丽萍、粟胜勇、蓝芳、黄潇、王夏青、孙广宇、杨钧朝、潘明珍</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第一临床医学院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95</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“互联网+PBL”实现翻转课堂在胸外科学教学应用研究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刘涛、吴鲧、倪广生、钟声声、劳信恒</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广西国际壮医医院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96</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传承创新,科教结合在中医药大学生培养模式的实践探索</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黄玉凤、陆英俊、曹传东、韦艳艳</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瑞康临床医学院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97</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校园心理剧模式在《大学生心理健康教育》课堂的实践研究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梁宝桐、邹增丽、黎海祥、王碧艳、韦俞伽、吴素景、谢春艳、汪依桃、张茜、黄茜</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公共卫生与管理学院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98</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基于雨课堂的混合式教学在医学细胞生物学教学中的探索与实践研究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黄愉淋、刘绍良、李景云、何国珍、黎明星、白琳、阮子芸、梁裕芬</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基础医学院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99</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“三明治”教学法在《针灸学》临床见习中的应用</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黄慧敏、蒙珊、韦日铺、邢沙沙、韦晓婷、韦丽兰、林洪全、冯火珍、张宏鑫、丁丽丽</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瑞康临床医学院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100</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基于OSCE康复技能考核体系的改革与探索</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马富斌、陈广辉、王开龙、洪冬宁、李振兴、苏晗、阳闰祥、陆正、王永鑫</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第一临床医学院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101</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互联网+PBL教学法在中医专业影像学教学中的应用</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李国秀、许彪、刘超华、黄斌、刘凯、林靖复、邓忠奎</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第三附属医院（柳州市中医医院）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102</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跨文化能力培养关照下探索《大学英语读写译》课程设计</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张艳、方宝、陈世存、仝慧茹、张莹莹、谢海涛</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外语部</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103</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多元化评价体系在中医口译教学中的应用研究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陈滢竹、周锋、蒙洁琼、王武杰、黄华贺、李少丽、蓝莹</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外语部</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104</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基于互联网的《临床微生物学检验》有效教学模式的探索与实践</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黄冬梅、戴芳、冯玉青、黄晓群、田玉玲、冯照谈、粟艳梅</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瑞康临床医学院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105</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基于DOPS评价法的翻转课堂在针灸学临床实践教学中的改革研究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廖子龙、陈日兰、朱英、汪国翔、陈芒华、韦日铺、李倩、李雪、李媛媛</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瑞康临床医学院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106</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方证辨证下比较思维在中医住院医师规范化培训中的运用探讨</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梁爱武、姜俊玲、陈晓峰、朱永苹、赖庆来、黄天圆</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瑞康临床医学院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107</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中医心理学理论在《大学生心理健康教育》课程中应用的实证研究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张茜、吴健文、汪依桃</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公共卫生与管理学院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108</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以学生为中心理念下营养学课程课堂教学与智能手机中在线考试系统深度融合的改革与实践</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周立红、高慧、崔海辰、陆华贞、陆俞吉、张娜</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公共卫生与管理学院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109</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基于“两性一度”标准的《中医内科学》线上线下混合式课程的探索与实践</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陈炜、胡跃强、程越、区锏、班莹、杨亚龙、秦红玲、向军军、赖菁菁</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第一临床医学院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110</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16"/>
                <w:szCs w:val="16"/>
                <w:lang w:bidi="ar"/>
              </w:rPr>
              <w:t>基于“PBL教学+学术沙龙”模式培养脾胃病专业“双轨合一”研究生临床与科研能力的研究与探索</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杨成宁、刘礼剑、黄晓燕、黎丽群、韦金秀、陈广文、梁雪、李建锋、赵一娜、刘莉、陈雅璐、陈然</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第一临床医学院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111</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思维导图的翻转课堂在肾风湿内分泌科实习护生临床带教的应用研究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蒙花细、陆丽荣、李容华、陶艳、黄丽、曾琪烽</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第一临床医学院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112</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“药德”视角下药事管理与法规课程思政的研究与实践</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孙雪林、曾红、夏梦、陆明阳、罗统勇、杨栩、邱慧琳</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16"/>
                <w:szCs w:val="16"/>
                <w:lang w:bidi="ar"/>
              </w:rPr>
              <w:t>高等职业技术学院（广西中医学校）合署</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113</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“图形+动画”教学模式在《中药学》课程中的应用</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李莉、胡小勤、覃文慧、韦乃球、薛中峰、孙健</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药学院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114</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工作坊教学模式对提升助产专业实习生核心胜任力的研究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黎凤民、龙秀红、刘青艳、邹义芳、苏秋梅、黄环、彭茹凤、梁燕、谢蓉、潘虹利、韦颖</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瑞康临床医学院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115</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结构化问诊联合标准化病人教学对脑病科见习医师问诊能力的影响研究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刘永辉、高玉广、吴鹏、谭庆晶、陈清</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第一临床医学院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116</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基于“Moodle+雨课堂”的分级模式的混合式教学在中医骨伤科学探索及研究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郭锦荣、袁长深、梅其杰、段戡、曾平、郑海军、曾超、程越</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第一临床医学院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117</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基于移动客户端的本科生无纸化考试的探讨—— 以生理学课程为例</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陈少容、韩琦、常晓威、黄德伦、黎玉升、杨焕琪、陈其勇</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教务处</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118</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以“传承创新发展”指导针灸教学改革</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杨雪捷、范郁山、李珍娟、乔赟、高炜燕、凌希</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16"/>
                <w:szCs w:val="16"/>
                <w:lang w:bidi="ar"/>
              </w:rPr>
              <w:t>针灸推拿学院（针灸研究所）</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119</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构建中医皮肤病学教情志交流实践教学模式的研究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吴志洪、黄琴、张衍、冯杲</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第一临床医学院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120</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分级培训模式的职业暴露管理方案在护理实习生的应用研究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廖美英、秦明芳、黄明丽、李慧、黎琴、张雪兰、梁彦琦、罗芬、梁海敏、农莉娜、杨利娟、罗颜艳</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瑞康临床医学院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121</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课程思政融入外科学实验教学中的探索与实践</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吴德坤、曾家耀、朱寿鸿、赵云、张建强、龚智鑫</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教学实验实训中心</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122</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以自主学习为导向的对分课堂在心理健康教育课程的改革与实践研究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吴素景、邹增丽、梁宝桐</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公共卫生与管理学院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123</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混合型教学在中医筋伤学中的应用初探</w:t>
            </w:r>
          </w:p>
        </w:tc>
        <w:tc>
          <w:tcPr>
            <w:tcW w:w="5332"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谢冰、朱毅松、袁林章、周明明、郭领、王扬坤、李文华、彭韵秋</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骨伤学院（骨伤研究所）</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124</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16"/>
                <w:szCs w:val="16"/>
                <w:lang w:bidi="ar"/>
              </w:rPr>
              <w:t>“互联网+”背景下翻转课堂联合CBL、PBL教学法在中医院校病理学教学中的应用研究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欧海玲、张锡流、文亦磊、苏传丽、黄羽、张秀玲、刘姗姗、覃小华、程越</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第一临床医学院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125</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16"/>
                <w:szCs w:val="16"/>
                <w:lang w:bidi="ar"/>
              </w:rPr>
              <w:t>基于“互联网+PBL教学”探讨伞状meta分析在中医学专业“5+3”一体化医学生科研能力培养中的应用</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谭金晶、谢胜、刘礼剑、黄晓燕、黎丽群、刘莉、陈雅璐、李建锋、闫乾</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第一临床医学院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126</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心内科医学模拟情景教学案例及教学设计研究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彭华、陈建军、曾家耀、梁武健、胡明、周朝锋、袁锦花、谢艳红、劳晓园、黎学敏、田歌</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教学实验实训中心</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127</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药用植物教研室“劳动课”探索与实践</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戴忠华、郭敏、梁子宁、李永华、李斌、汝梅</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药学院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128</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大学英语“课程思政”教学模式的路径研究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熊莉芸、韦健、方宝、李少丽、黄智贞、张莹莹、柳江帆</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外语部</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129</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基于教考分离的中医内科学题库建设改革探索与应用——以中医脾胃病为例</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刘礼剑、黄晓燕、陈雅璐、杨成宁、韦金秀、陈广文、李建锋、黎丽群、赵一娜、郑超伟、王道刚</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第一临床医学院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130</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以“医药结合”为基础的临床药学专业实习模式探讨</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陈清洁、李健哲、李晓平、周莹、孙悦文、梁秀群、邵庆瑞、周光宇</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瑞康临床医学院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131</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慕课教学模式在中医护理技术临床实践教学中的运用研究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杨爽、林琴、胡晓玥、宁碧彩、蒋荞筱、陈昶蓉、黄美芳、石梦锦</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广西国际壮医医院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132</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BOPPPS模式结合雨课堂在社会医学教学中的应用研究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陈荷、郭宇莎、周晔玲、涂斯婧、梁臻熠</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公共卫生与管理学院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133</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基于研究型教学的Miniquest微课应用模式的研究与实践——以高职药用植物学课程为例</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杨栩、陈诚、夏梦、曹音、罗统勇、李健</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16"/>
                <w:szCs w:val="16"/>
                <w:lang w:bidi="ar"/>
              </w:rPr>
              <w:t>高等职业技术学院（广西中医学校）合署</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134</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基于血细胞形态学APP在临床血液检验技术教学应用的研究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丁凯宏、谢智光、罗靖、冯照谈</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瑞康临床医学院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135</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以抗感染为切入点的临床药学实习生带教及临床药师培训模式探索</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周莹、李晓平、梁秀群、陈清洁、孙悦文、周光宇、梁晓艳、邵庆瑞、李健哲</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瑞康临床医学院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136</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Seminar教学法在中医骨伤科学课程中的探索与实践</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尚昱志、徐志为、邢沙沙、黄安、陈烨、韩杰、韦丽兰、李建颖、刘昊</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瑞康临床医学院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137</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中医药院校大学英语与专业英语教学衔接融合研究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柳江帆、滕今婷、李少丽、周锋、熊莉芸、方宝、韦健、罗梅、董银华、郭军</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外语部</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138</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“互联网+”背景下的“课程思政”教学模式设计与实践研究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谭积斌、罗俊、陈中全、唐孙茹、余兰、吴佳蔚、梁秋远、林政艺</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现代教育技术与信息中心</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139</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fldChar w:fldCharType="begin"/>
            </w:r>
            <w:r>
              <w:instrText xml:space="preserve"> HYPERLINK "张春+新《普通高等学校军事课教学大纲》下高校军事技能训练的实践探索.pdf" </w:instrText>
            </w:r>
            <w:r>
              <w:fldChar w:fldCharType="separate"/>
            </w:r>
            <w:r>
              <w:rPr>
                <w:rStyle w:val="8"/>
                <w:rFonts w:hint="eastAsia" w:ascii="宋体" w:hAnsi="宋体" w:cs="宋体"/>
                <w:sz w:val="20"/>
                <w:szCs w:val="20"/>
                <w:u w:val="none"/>
              </w:rPr>
              <w:t>新《普通高等学校军事课教学大纲》下高校军事技能训练的实践探索</w:t>
            </w:r>
            <w:r>
              <w:rPr>
                <w:rStyle w:val="8"/>
                <w:rFonts w:hint="eastAsia" w:ascii="宋体" w:hAnsi="宋体" w:cs="宋体"/>
                <w:sz w:val="20"/>
                <w:szCs w:val="20"/>
                <w:u w:val="none"/>
              </w:rPr>
              <w:fldChar w:fldCharType="end"/>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张春、叶勇玲、蒋闽义、田世宏、吴玉峰、王怿清、黎春龙、吕映福</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武装部、保卫处（合署）</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140</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通过开展临床双语教学提升人才培养质量的研究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陈芒华、陈日兰、朱英、宁桂兰、廖子龙、韦日铺、倪光禧</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瑞康临床医学院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trPr>
        <w:tc>
          <w:tcPr>
            <w:tcW w:w="579" w:type="dxa"/>
            <w:tcMar>
              <w:top w:w="15" w:type="dxa"/>
              <w:left w:w="15" w:type="dxa"/>
              <w:right w:w="15"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141</w:t>
            </w:r>
          </w:p>
        </w:tc>
        <w:tc>
          <w:tcPr>
            <w:tcW w:w="1037"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kern w:val="0"/>
                <w:sz w:val="20"/>
                <w:szCs w:val="20"/>
                <w:lang w:bidi="ar"/>
              </w:rPr>
              <w:t>一般项目</w:t>
            </w:r>
          </w:p>
        </w:tc>
        <w:tc>
          <w:tcPr>
            <w:tcW w:w="4595" w:type="dxa"/>
            <w:tcMar>
              <w:top w:w="15" w:type="dxa"/>
              <w:left w:w="15" w:type="dxa"/>
              <w:right w:w="15" w:type="dxa"/>
            </w:tcMar>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“大医精诚”和“女排精神”人文教育理念 回归的实践与研究</w:t>
            </w:r>
          </w:p>
        </w:tc>
        <w:tc>
          <w:tcPr>
            <w:tcW w:w="5332" w:type="dxa"/>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宋杰、雷力民、蒙晓冰、谭俊豪、杨文</w:t>
            </w:r>
          </w:p>
        </w:tc>
        <w:tc>
          <w:tcPr>
            <w:tcW w:w="1609" w:type="dxa"/>
            <w:vAlign w:val="center"/>
          </w:tcPr>
          <w:p>
            <w:pPr>
              <w:widowControl/>
              <w:jc w:val="center"/>
              <w:textAlignment w:val="center"/>
              <w:rPr>
                <w:rFonts w:ascii="仿宋" w:hAnsi="仿宋" w:eastAsia="仿宋" w:cs="仿宋"/>
                <w:color w:val="000000"/>
                <w:szCs w:val="21"/>
              </w:rPr>
            </w:pPr>
            <w:r>
              <w:rPr>
                <w:rFonts w:hint="eastAsia" w:ascii="宋体" w:hAnsi="宋体" w:cs="宋体"/>
                <w:color w:val="000000"/>
                <w:kern w:val="0"/>
                <w:sz w:val="20"/>
                <w:szCs w:val="20"/>
                <w:lang w:bidi="ar"/>
              </w:rPr>
              <w:t>瑞康临床医学院</w:t>
            </w:r>
          </w:p>
        </w:tc>
        <w:tc>
          <w:tcPr>
            <w:tcW w:w="1445" w:type="dxa"/>
            <w:vAlign w:val="center"/>
          </w:tcPr>
          <w:p>
            <w:pPr>
              <w:widowControl/>
              <w:jc w:val="center"/>
              <w:textAlignment w:val="center"/>
              <w:rPr>
                <w:rFonts w:ascii="仿宋" w:hAnsi="仿宋" w:eastAsia="仿宋" w:cs="仿宋"/>
                <w:color w:val="000000"/>
                <w:kern w:val="0"/>
                <w:szCs w:val="21"/>
                <w:lang w:bidi="ar"/>
              </w:rPr>
            </w:pPr>
            <w:r>
              <w:rPr>
                <w:rFonts w:hint="eastAsia" w:ascii="宋体" w:hAnsi="宋体" w:cs="宋体"/>
                <w:color w:val="000000"/>
                <w:sz w:val="20"/>
                <w:szCs w:val="20"/>
              </w:rPr>
              <w:t>2020B085</w:t>
            </w:r>
          </w:p>
        </w:tc>
      </w:tr>
    </w:tbl>
    <w:p>
      <w:pPr>
        <w:rPr>
          <w:rFonts w:ascii="方正小标宋简体" w:eastAsia="方正小标宋简体"/>
          <w:sz w:val="28"/>
          <w:szCs w:val="28"/>
        </w:rPr>
        <w:sectPr>
          <w:footerReference r:id="rId4" w:type="default"/>
          <w:pgSz w:w="16838" w:h="11906" w:orient="landscape"/>
          <w:pgMar w:top="1800" w:right="1440" w:bottom="1800" w:left="1440" w:header="851" w:footer="992" w:gutter="0"/>
          <w:pgNumType w:start="1"/>
          <w:cols w:space="425" w:num="1"/>
          <w:docGrid w:type="lines" w:linePitch="312" w:charSpace="0"/>
        </w:sectPr>
      </w:pPr>
    </w:p>
    <w:p>
      <w:pPr>
        <w:rPr>
          <w:rFonts w:hint="eastAsia" w:ascii="仿宋" w:hAnsi="仿宋" w:eastAsia="仿宋" w:cs="仿宋"/>
          <w:kern w:val="0"/>
          <w:sz w:val="30"/>
          <w:szCs w:val="3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435B19"/>
    <w:rsid w:val="738221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widowControl/>
      <w:spacing w:before="260" w:after="260" w:line="412" w:lineRule="auto"/>
      <w:outlineLvl w:val="2"/>
    </w:pPr>
    <w:rPr>
      <w:b/>
      <w:bCs/>
      <w:kern w:val="0"/>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uiPriority w:val="0"/>
    <w:rPr>
      <w:rFonts w:eastAsia="方正仿宋简体"/>
      <w:sz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Administrator</cp:lastModifiedBy>
  <dcterms:modified xsi:type="dcterms:W3CDTF">2020-11-04T02:35:36Z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